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5C91B2">
      <w:pPr>
        <w:spacing w:line="560" w:lineRule="exact"/>
        <w:jc w:val="center"/>
        <w:rPr>
          <w:rFonts w:hint="eastAsia" w:ascii="方正小标宋简体" w:hAnsi="华文中宋" w:eastAsia="方正小标宋简体"/>
          <w:color w:val="000000"/>
          <w:sz w:val="44"/>
          <w:szCs w:val="40"/>
        </w:rPr>
      </w:pPr>
      <w:r>
        <w:rPr>
          <w:rStyle w:val="4"/>
          <w:rFonts w:hint="eastAsia" w:ascii="方正小标宋简体" w:hAnsi="华文中宋" w:eastAsia="方正小标宋简体"/>
          <w:b w:val="0"/>
          <w:color w:val="000000"/>
          <w:spacing w:val="-11"/>
          <w:sz w:val="44"/>
          <w:szCs w:val="36"/>
        </w:rPr>
        <w:t>新闻访谈</w:t>
      </w:r>
      <w:r>
        <w:rPr>
          <w:rFonts w:hint="eastAsia" w:ascii="方正小标宋简体" w:hAnsi="华文中宋" w:eastAsia="方正小标宋简体"/>
          <w:color w:val="000000"/>
          <w:sz w:val="44"/>
          <w:szCs w:val="40"/>
        </w:rPr>
        <w:t>参评作品推荐表</w:t>
      </w:r>
    </w:p>
    <w:tbl>
      <w:tblPr>
        <w:tblStyle w:val="2"/>
        <w:tblW w:w="91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8"/>
        <w:gridCol w:w="127"/>
        <w:gridCol w:w="552"/>
        <w:gridCol w:w="62"/>
        <w:gridCol w:w="1176"/>
        <w:gridCol w:w="747"/>
        <w:gridCol w:w="19"/>
        <w:gridCol w:w="792"/>
        <w:gridCol w:w="194"/>
        <w:gridCol w:w="712"/>
        <w:gridCol w:w="911"/>
        <w:gridCol w:w="816"/>
        <w:gridCol w:w="1122"/>
        <w:gridCol w:w="1119"/>
      </w:tblGrid>
      <w:tr w14:paraId="1055F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exact"/>
          <w:jc w:val="center"/>
        </w:trPr>
        <w:tc>
          <w:tcPr>
            <w:tcW w:w="975" w:type="dxa"/>
            <w:gridSpan w:val="2"/>
            <w:vMerge w:val="restart"/>
            <w:noWrap w:val="0"/>
            <w:vAlign w:val="center"/>
          </w:tcPr>
          <w:p w14:paraId="60855532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标题</w:t>
            </w:r>
          </w:p>
        </w:tc>
        <w:tc>
          <w:tcPr>
            <w:tcW w:w="4254" w:type="dxa"/>
            <w:gridSpan w:val="8"/>
            <w:vMerge w:val="restart"/>
            <w:noWrap w:val="0"/>
            <w:vAlign w:val="center"/>
          </w:tcPr>
          <w:p w14:paraId="262E0FD6">
            <w:pPr>
              <w:spacing w:line="240" w:lineRule="exact"/>
              <w:jc w:val="lef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《践行“两山”理念 建设美丽兵团》</w:t>
            </w:r>
          </w:p>
        </w:tc>
        <w:tc>
          <w:tcPr>
            <w:tcW w:w="1727" w:type="dxa"/>
            <w:gridSpan w:val="2"/>
            <w:noWrap w:val="0"/>
            <w:vAlign w:val="center"/>
          </w:tcPr>
          <w:p w14:paraId="604B1B6B">
            <w:pPr>
              <w:spacing w:line="320" w:lineRule="exact"/>
              <w:jc w:val="center"/>
              <w:rPr>
                <w:rFonts w:hint="eastAsia" w:ascii="仿宋_GB2312" w:hAnsi="华文仿宋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参评项目</w:t>
            </w:r>
          </w:p>
        </w:tc>
        <w:tc>
          <w:tcPr>
            <w:tcW w:w="2241" w:type="dxa"/>
            <w:gridSpan w:val="2"/>
            <w:noWrap w:val="0"/>
            <w:vAlign w:val="center"/>
          </w:tcPr>
          <w:p w14:paraId="32BD9A28">
            <w:pPr>
              <w:spacing w:line="240" w:lineRule="exact"/>
              <w:jc w:val="lef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FangSong_GB2312" w:hAnsi="FangSong_GB2312" w:eastAsia="FangSong_GB2312" w:cs="FangSong_GB2312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新闻访谈</w:t>
            </w:r>
            <w:r>
              <w:rPr>
                <w:rFonts w:hint="eastAsia" w:cs="FangSong_GB2312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（电视）</w:t>
            </w:r>
          </w:p>
        </w:tc>
      </w:tr>
      <w:tr w14:paraId="1AFEB8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exact"/>
          <w:jc w:val="center"/>
        </w:trPr>
        <w:tc>
          <w:tcPr>
            <w:tcW w:w="975" w:type="dxa"/>
            <w:gridSpan w:val="2"/>
            <w:vMerge w:val="continue"/>
            <w:noWrap w:val="0"/>
            <w:vAlign w:val="center"/>
          </w:tcPr>
          <w:p w14:paraId="30307A9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</w:p>
        </w:tc>
        <w:tc>
          <w:tcPr>
            <w:tcW w:w="4254" w:type="dxa"/>
            <w:gridSpan w:val="8"/>
            <w:vMerge w:val="continue"/>
            <w:noWrap w:val="0"/>
            <w:vAlign w:val="center"/>
          </w:tcPr>
          <w:p w14:paraId="5A4CFAB7">
            <w:pPr>
              <w:spacing w:line="240" w:lineRule="exact"/>
              <w:jc w:val="left"/>
              <w:rPr>
                <w:rFonts w:hint="eastAsia" w:ascii="仿宋" w:hAnsi="仿宋" w:eastAsia="仿宋"/>
                <w:color w:val="000000"/>
                <w:szCs w:val="21"/>
              </w:rPr>
            </w:pPr>
          </w:p>
        </w:tc>
        <w:tc>
          <w:tcPr>
            <w:tcW w:w="1727" w:type="dxa"/>
            <w:gridSpan w:val="2"/>
            <w:noWrap w:val="0"/>
            <w:vAlign w:val="center"/>
          </w:tcPr>
          <w:p w14:paraId="7F00AA47">
            <w:pPr>
              <w:spacing w:line="320" w:lineRule="exact"/>
              <w:jc w:val="center"/>
              <w:rPr>
                <w:rFonts w:hint="eastAsia" w:ascii="仿宋_GB2312" w:hAnsi="华文仿宋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体裁</w:t>
            </w:r>
          </w:p>
        </w:tc>
        <w:tc>
          <w:tcPr>
            <w:tcW w:w="2241" w:type="dxa"/>
            <w:gridSpan w:val="2"/>
            <w:noWrap w:val="0"/>
            <w:vAlign w:val="center"/>
          </w:tcPr>
          <w:p w14:paraId="57D62A67">
            <w:pPr>
              <w:spacing w:line="240" w:lineRule="exact"/>
              <w:jc w:val="left"/>
              <w:rPr>
                <w:rFonts w:hint="eastAsia" w:ascii="仿宋" w:hAnsi="仿宋" w:eastAsia="仿宋"/>
                <w:color w:val="000000"/>
                <w:szCs w:val="21"/>
              </w:rPr>
            </w:pPr>
          </w:p>
        </w:tc>
      </w:tr>
      <w:tr w14:paraId="4F54A6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exact"/>
          <w:jc w:val="center"/>
        </w:trPr>
        <w:tc>
          <w:tcPr>
            <w:tcW w:w="975" w:type="dxa"/>
            <w:gridSpan w:val="2"/>
            <w:noWrap w:val="0"/>
            <w:vAlign w:val="center"/>
          </w:tcPr>
          <w:p w14:paraId="470CAF7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时长</w:t>
            </w:r>
          </w:p>
        </w:tc>
        <w:tc>
          <w:tcPr>
            <w:tcW w:w="4254" w:type="dxa"/>
            <w:gridSpan w:val="8"/>
            <w:noWrap w:val="0"/>
            <w:vAlign w:val="center"/>
          </w:tcPr>
          <w:p w14:paraId="3B7B0D65">
            <w:pPr>
              <w:spacing w:line="240" w:lineRule="exact"/>
              <w:ind w:firstLine="240" w:firstLineChars="100"/>
              <w:jc w:val="left"/>
              <w:rPr>
                <w:rFonts w:hint="default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  <w:t>20分钟</w:t>
            </w:r>
          </w:p>
        </w:tc>
        <w:tc>
          <w:tcPr>
            <w:tcW w:w="1727" w:type="dxa"/>
            <w:gridSpan w:val="2"/>
            <w:noWrap w:val="0"/>
            <w:vAlign w:val="center"/>
          </w:tcPr>
          <w:p w14:paraId="48EFA331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语种</w:t>
            </w:r>
          </w:p>
        </w:tc>
        <w:tc>
          <w:tcPr>
            <w:tcW w:w="2241" w:type="dxa"/>
            <w:gridSpan w:val="2"/>
            <w:noWrap w:val="0"/>
            <w:vAlign w:val="center"/>
          </w:tcPr>
          <w:p w14:paraId="19FDEF43">
            <w:pPr>
              <w:spacing w:line="240" w:lineRule="exact"/>
              <w:jc w:val="left"/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  <w:t>中文</w:t>
            </w:r>
          </w:p>
        </w:tc>
      </w:tr>
      <w:tr w14:paraId="7CACC2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exact"/>
          <w:jc w:val="center"/>
        </w:trPr>
        <w:tc>
          <w:tcPr>
            <w:tcW w:w="1589" w:type="dxa"/>
            <w:gridSpan w:val="4"/>
            <w:noWrap w:val="0"/>
            <w:vAlign w:val="center"/>
          </w:tcPr>
          <w:p w14:paraId="734CFFE4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作者</w:t>
            </w:r>
          </w:p>
          <w:p w14:paraId="4C17F61F">
            <w:pPr>
              <w:spacing w:line="320" w:lineRule="exact"/>
              <w:jc w:val="center"/>
              <w:rPr>
                <w:rFonts w:hint="eastAsia" w:ascii="仿宋_GB2312" w:hAnsi="华文仿宋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（主创人员）</w:t>
            </w:r>
          </w:p>
        </w:tc>
        <w:tc>
          <w:tcPr>
            <w:tcW w:w="3640" w:type="dxa"/>
            <w:gridSpan w:val="6"/>
            <w:noWrap w:val="0"/>
            <w:vAlign w:val="center"/>
          </w:tcPr>
          <w:p w14:paraId="07948423">
            <w:pPr>
              <w:spacing w:line="240" w:lineRule="exact"/>
              <w:jc w:val="lef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default" w:eastAsia="FangSong_GB2312"/>
                <w:sz w:val="24"/>
                <w:szCs w:val="24"/>
                <w:lang w:val="en-US" w:eastAsia="zh-CN"/>
              </w:rPr>
              <w:t>冯静 肖柏君 程丽 苏俊豪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eastAsia="FangSong_GB2312"/>
                <w:sz w:val="24"/>
                <w:szCs w:val="24"/>
                <w:lang w:val="en-US" w:eastAsia="zh-CN"/>
              </w:rPr>
              <w:t xml:space="preserve">李旭 </w:t>
            </w:r>
          </w:p>
        </w:tc>
        <w:tc>
          <w:tcPr>
            <w:tcW w:w="1727" w:type="dxa"/>
            <w:gridSpan w:val="2"/>
            <w:noWrap w:val="0"/>
            <w:vAlign w:val="center"/>
          </w:tcPr>
          <w:p w14:paraId="3AF9D465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编辑</w:t>
            </w:r>
          </w:p>
        </w:tc>
        <w:tc>
          <w:tcPr>
            <w:tcW w:w="2241" w:type="dxa"/>
            <w:gridSpan w:val="2"/>
            <w:noWrap w:val="0"/>
            <w:vAlign w:val="center"/>
          </w:tcPr>
          <w:p w14:paraId="22C7A0EF">
            <w:pPr>
              <w:spacing w:line="240" w:lineRule="exact"/>
              <w:jc w:val="lef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杜鹃 李凌昊 张娟</w:t>
            </w:r>
          </w:p>
        </w:tc>
      </w:tr>
      <w:tr w14:paraId="50486C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1589" w:type="dxa"/>
            <w:gridSpan w:val="4"/>
            <w:noWrap w:val="0"/>
            <w:vAlign w:val="center"/>
          </w:tcPr>
          <w:p w14:paraId="53F27008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原创单位</w:t>
            </w:r>
          </w:p>
        </w:tc>
        <w:tc>
          <w:tcPr>
            <w:tcW w:w="3640" w:type="dxa"/>
            <w:gridSpan w:val="6"/>
            <w:noWrap w:val="0"/>
            <w:vAlign w:val="center"/>
          </w:tcPr>
          <w:p w14:paraId="7E543B8A">
            <w:pPr>
              <w:spacing w:line="240" w:lineRule="exact"/>
              <w:jc w:val="lef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兵团广播电视台</w:t>
            </w:r>
          </w:p>
        </w:tc>
        <w:tc>
          <w:tcPr>
            <w:tcW w:w="1727" w:type="dxa"/>
            <w:gridSpan w:val="2"/>
            <w:noWrap w:val="0"/>
            <w:vAlign w:val="center"/>
          </w:tcPr>
          <w:p w14:paraId="49E0D984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发布端/账号/</w:t>
            </w:r>
          </w:p>
          <w:p w14:paraId="5335F376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媒体名称</w:t>
            </w:r>
          </w:p>
        </w:tc>
        <w:tc>
          <w:tcPr>
            <w:tcW w:w="2241" w:type="dxa"/>
            <w:gridSpan w:val="2"/>
            <w:noWrap w:val="0"/>
            <w:vAlign w:val="center"/>
          </w:tcPr>
          <w:p w14:paraId="1B40DE3C">
            <w:pPr>
              <w:spacing w:line="240" w:lineRule="exact"/>
              <w:jc w:val="lef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兵团广播电视台</w:t>
            </w:r>
          </w:p>
        </w:tc>
      </w:tr>
      <w:tr w14:paraId="01E42C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1589" w:type="dxa"/>
            <w:gridSpan w:val="4"/>
            <w:noWrap w:val="0"/>
            <w:vAlign w:val="center"/>
          </w:tcPr>
          <w:p w14:paraId="14321531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刊播</w:t>
            </w:r>
          </w:p>
          <w:p w14:paraId="013E8CEE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频率频道</w:t>
            </w:r>
          </w:p>
        </w:tc>
        <w:tc>
          <w:tcPr>
            <w:tcW w:w="3640" w:type="dxa"/>
            <w:gridSpan w:val="6"/>
            <w:noWrap w:val="0"/>
            <w:vAlign w:val="center"/>
          </w:tcPr>
          <w:p w14:paraId="749D9ADC">
            <w:pPr>
              <w:spacing w:line="240" w:lineRule="exact"/>
              <w:jc w:val="left"/>
              <w:rPr>
                <w:rFonts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sz w:val="24"/>
                <w:szCs w:val="24"/>
              </w:rPr>
              <w:t>兵团卫视《兵团视点》</w:t>
            </w:r>
          </w:p>
        </w:tc>
        <w:tc>
          <w:tcPr>
            <w:tcW w:w="1727" w:type="dxa"/>
            <w:gridSpan w:val="2"/>
            <w:noWrap w:val="0"/>
            <w:vAlign w:val="center"/>
          </w:tcPr>
          <w:p w14:paraId="641DE43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刊播日期</w:t>
            </w:r>
          </w:p>
        </w:tc>
        <w:tc>
          <w:tcPr>
            <w:tcW w:w="2241" w:type="dxa"/>
            <w:gridSpan w:val="2"/>
            <w:noWrap w:val="0"/>
            <w:vAlign w:val="center"/>
          </w:tcPr>
          <w:p w14:paraId="2A61BCCD">
            <w:pPr>
              <w:spacing w:line="260" w:lineRule="exact"/>
              <w:jc w:val="left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 w:cs="Times New Roman"/>
                <w:color w:val="000000"/>
                <w:sz w:val="24"/>
                <w:szCs w:val="24"/>
                <w:lang w:val="en-US" w:eastAsia="zh-CN"/>
              </w:rPr>
              <w:t>2025年8月15日20</w:t>
            </w:r>
            <w:r>
              <w:rPr>
                <w:rFonts w:hint="eastAsia" w:ascii="仿宋" w:hAnsi="仿宋" w:eastAsia="仿宋" w:cs="Times New Roman"/>
                <w:color w:val="000000"/>
                <w:sz w:val="24"/>
                <w:szCs w:val="24"/>
              </w:rPr>
              <w:t>时</w:t>
            </w:r>
            <w:r>
              <w:rPr>
                <w:rFonts w:hint="eastAsia" w:ascii="仿宋" w:hAnsi="仿宋" w:eastAsia="仿宋" w:cs="Times New Roman"/>
                <w:color w:val="000000"/>
                <w:sz w:val="24"/>
                <w:szCs w:val="24"/>
                <w:lang w:val="en-US" w:eastAsia="zh-CN"/>
              </w:rPr>
              <w:t>30</w:t>
            </w:r>
            <w:r>
              <w:rPr>
                <w:rFonts w:hint="eastAsia" w:ascii="仿宋" w:hAnsi="仿宋" w:eastAsia="仿宋" w:cs="Times New Roman"/>
                <w:color w:val="000000"/>
                <w:sz w:val="24"/>
                <w:szCs w:val="24"/>
              </w:rPr>
              <w:t>分</w:t>
            </w:r>
          </w:p>
        </w:tc>
      </w:tr>
      <w:tr w14:paraId="32445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3" w:hRule="exact"/>
          <w:jc w:val="center"/>
        </w:trPr>
        <w:tc>
          <w:tcPr>
            <w:tcW w:w="1589" w:type="dxa"/>
            <w:gridSpan w:val="4"/>
            <w:noWrap w:val="0"/>
            <w:vAlign w:val="center"/>
          </w:tcPr>
          <w:p w14:paraId="5F58AB4A">
            <w:pPr>
              <w:spacing w:line="320" w:lineRule="exact"/>
              <w:jc w:val="center"/>
              <w:rPr>
                <w:rFonts w:hint="eastAsia" w:ascii="华文中宋" w:hAnsi="华文中宋" w:eastAsia="华文中宋" w:cs="华文中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Cs/>
                <w:color w:val="000000"/>
                <w:sz w:val="28"/>
                <w:szCs w:val="28"/>
              </w:rPr>
              <w:t>新媒体</w:t>
            </w:r>
          </w:p>
          <w:p w14:paraId="198F4478">
            <w:pPr>
              <w:spacing w:line="320" w:lineRule="exact"/>
              <w:jc w:val="center"/>
              <w:rPr>
                <w:rFonts w:hint="eastAsia" w:ascii="仿宋_GB2312" w:hAnsi="华文仿宋" w:eastAsia="华文中宋"/>
                <w:b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华文中宋" w:hAnsi="华文中宋" w:eastAsia="华文中宋" w:cs="华文中宋"/>
                <w:bCs/>
                <w:color w:val="000000"/>
                <w:sz w:val="28"/>
                <w:szCs w:val="28"/>
              </w:rPr>
              <w:t>作品</w:t>
            </w:r>
            <w:r>
              <w:rPr>
                <w:rFonts w:hint="eastAsia" w:ascii="华文中宋" w:hAnsi="华文中宋" w:eastAsia="华文中宋" w:cs="华文中宋"/>
                <w:bCs/>
                <w:color w:val="000000"/>
                <w:sz w:val="28"/>
                <w:szCs w:val="28"/>
                <w:lang w:val="en-US" w:eastAsia="zh-CN"/>
              </w:rPr>
              <w:t>链接</w:t>
            </w:r>
          </w:p>
        </w:tc>
        <w:tc>
          <w:tcPr>
            <w:tcW w:w="3640" w:type="dxa"/>
            <w:gridSpan w:val="6"/>
            <w:noWrap w:val="0"/>
            <w:vAlign w:val="center"/>
          </w:tcPr>
          <w:p w14:paraId="5B95A7BE">
            <w:pPr>
              <w:spacing w:line="440" w:lineRule="exact"/>
              <w:jc w:val="left"/>
              <w:rPr>
                <w:rFonts w:hint="eastAsia" w:ascii="仿宋_GB2312" w:hAnsi="华文仿宋" w:eastAsia="仿宋"/>
                <w:color w:val="000000"/>
                <w:sz w:val="28"/>
                <w:szCs w:val="28"/>
              </w:rPr>
            </w:pPr>
          </w:p>
        </w:tc>
        <w:tc>
          <w:tcPr>
            <w:tcW w:w="1727" w:type="dxa"/>
            <w:gridSpan w:val="2"/>
            <w:noWrap w:val="0"/>
            <w:vAlign w:val="center"/>
          </w:tcPr>
          <w:p w14:paraId="0A598D4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是否为</w:t>
            </w:r>
          </w:p>
          <w:p w14:paraId="49E8C5F3">
            <w:pPr>
              <w:spacing w:line="320" w:lineRule="exact"/>
              <w:jc w:val="center"/>
              <w:rPr>
                <w:rFonts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“三好作品”</w:t>
            </w:r>
          </w:p>
        </w:tc>
        <w:tc>
          <w:tcPr>
            <w:tcW w:w="2241" w:type="dxa"/>
            <w:gridSpan w:val="2"/>
            <w:noWrap w:val="0"/>
            <w:vAlign w:val="center"/>
          </w:tcPr>
          <w:p w14:paraId="68C6D60E">
            <w:pPr>
              <w:spacing w:line="440" w:lineRule="exact"/>
              <w:jc w:val="left"/>
              <w:rPr>
                <w:rFonts w:hint="eastAsia" w:ascii="仿宋_GB2312" w:hAnsi="华文仿宋" w:eastAsia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sz w:val="24"/>
                <w:szCs w:val="24"/>
                <w:lang w:val="en-US" w:eastAsia="zh-CN"/>
              </w:rPr>
              <w:t>否</w:t>
            </w:r>
          </w:p>
        </w:tc>
      </w:tr>
      <w:tr w14:paraId="28DED7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5" w:hRule="exact"/>
          <w:jc w:val="center"/>
        </w:trPr>
        <w:tc>
          <w:tcPr>
            <w:tcW w:w="848" w:type="dxa"/>
            <w:noWrap w:val="0"/>
            <w:vAlign w:val="center"/>
          </w:tcPr>
          <w:p w14:paraId="062F6AD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</w:t>
            </w:r>
          </w:p>
          <w:p w14:paraId="70C939A1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</w:t>
            </w:r>
          </w:p>
          <w:p w14:paraId="48E921C5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简</w:t>
            </w:r>
          </w:p>
          <w:p w14:paraId="25F662B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介</w:t>
            </w:r>
          </w:p>
        </w:tc>
        <w:tc>
          <w:tcPr>
            <w:tcW w:w="8349" w:type="dxa"/>
            <w:gridSpan w:val="13"/>
            <w:noWrap w:val="0"/>
            <w:vAlign w:val="center"/>
          </w:tcPr>
          <w:p w14:paraId="4FEFE486">
            <w:pPr>
              <w:spacing w:line="240" w:lineRule="exact"/>
              <w:ind w:firstLine="480" w:firstLineChars="200"/>
              <w:jc w:val="left"/>
              <w:rPr>
                <w:rFonts w:hint="eastAsia" w:ascii="仿宋" w:hAnsi="仿宋" w:eastAsia="仿宋" w:cs="Times New Roman"/>
                <w:color w:val="000000"/>
                <w:sz w:val="24"/>
                <w:szCs w:val="24"/>
                <w:lang w:eastAsia="zh-CN"/>
              </w:rPr>
            </w:pPr>
          </w:p>
          <w:p w14:paraId="5BD7E4E3">
            <w:pPr>
              <w:spacing w:line="240" w:lineRule="exact"/>
              <w:ind w:firstLine="480" w:firstLineChars="200"/>
              <w:jc w:val="left"/>
              <w:rPr>
                <w:rFonts w:hint="eastAsia" w:ascii="仿宋" w:hAnsi="仿宋" w:eastAsia="仿宋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sz w:val="24"/>
                <w:szCs w:val="24"/>
                <w:lang w:eastAsia="zh-CN"/>
              </w:rPr>
              <w:t>2025年是习近平生态文明思想的核心理念“绿水青山就是金山银山”这一科学论断提出20周年。</w:t>
            </w:r>
            <w:r>
              <w:rPr>
                <w:rFonts w:hint="eastAsia" w:ascii="仿宋" w:hAnsi="仿宋" w:eastAsia="仿宋" w:cs="Times New Roman"/>
                <w:color w:val="000000"/>
                <w:sz w:val="24"/>
                <w:szCs w:val="24"/>
                <w:lang w:val="en-US" w:eastAsia="zh-CN"/>
              </w:rPr>
              <w:t>栏目组打破常规走出演播室录制，以实地探访的形式来到八师石河子市，选取了</w:t>
            </w:r>
            <w:r>
              <w:rPr>
                <w:rFonts w:hint="eastAsia" w:ascii="仿宋" w:hAnsi="仿宋" w:eastAsia="仿宋" w:cs="Times New Roman"/>
                <w:color w:val="000000"/>
                <w:sz w:val="24"/>
                <w:szCs w:val="24"/>
              </w:rPr>
              <w:t>蘑菇湖水库水环境综合治理</w:t>
            </w:r>
            <w:r>
              <w:rPr>
                <w:rFonts w:hint="eastAsia" w:ascii="仿宋" w:hAnsi="仿宋" w:eastAsia="仿宋" w:cs="Times New Roman"/>
                <w:color w:val="000000"/>
                <w:sz w:val="24"/>
                <w:szCs w:val="24"/>
                <w:lang w:val="en-US" w:eastAsia="zh-CN"/>
              </w:rPr>
              <w:t>和</w:t>
            </w:r>
            <w:r>
              <w:rPr>
                <w:rFonts w:hint="eastAsia" w:ascii="仿宋" w:hAnsi="仿宋" w:eastAsia="仿宋" w:cs="Times New Roman"/>
                <w:color w:val="000000"/>
                <w:sz w:val="24"/>
                <w:szCs w:val="24"/>
              </w:rPr>
              <w:t>将军山辽疆生态园</w:t>
            </w:r>
            <w:r>
              <w:rPr>
                <w:rFonts w:hint="eastAsia" w:ascii="仿宋" w:hAnsi="仿宋" w:eastAsia="仿宋" w:cs="Times New Roman"/>
                <w:color w:val="000000"/>
                <w:sz w:val="24"/>
                <w:szCs w:val="24"/>
                <w:lang w:val="en-US" w:eastAsia="zh-CN"/>
              </w:rPr>
              <w:t>荒山修复两个典型的生态文明建设案例，同时邀请行政职能部门负责人，以亲身经历讲述这两项工程建设的全过程。节目以小切口反映大主题，</w:t>
            </w:r>
            <w:r>
              <w:rPr>
                <w:rFonts w:hint="eastAsia" w:ascii="仿宋" w:hAnsi="仿宋" w:eastAsia="仿宋" w:cs="Times New Roman"/>
                <w:color w:val="000000"/>
                <w:sz w:val="24"/>
                <w:szCs w:val="24"/>
              </w:rPr>
              <w:t>生动地展现</w:t>
            </w:r>
            <w:r>
              <w:rPr>
                <w:rFonts w:hint="eastAsia" w:ascii="仿宋" w:hAnsi="仿宋" w:eastAsia="仿宋" w:cs="Times New Roman"/>
                <w:color w:val="000000"/>
                <w:sz w:val="24"/>
                <w:szCs w:val="24"/>
                <w:lang w:val="en-US" w:eastAsia="zh-CN"/>
              </w:rPr>
              <w:t>兵团</w:t>
            </w:r>
            <w:r>
              <w:rPr>
                <w:rFonts w:hint="eastAsia" w:ascii="仿宋" w:hAnsi="仿宋" w:eastAsia="仿宋" w:cs="Times New Roman"/>
                <w:color w:val="000000"/>
                <w:sz w:val="24"/>
                <w:szCs w:val="24"/>
              </w:rPr>
              <w:t>深入贯彻落实习近平生态文明思想，积极推进美丽兵团建设</w:t>
            </w:r>
            <w:r>
              <w:rPr>
                <w:rFonts w:hint="eastAsia" w:ascii="仿宋" w:hAnsi="仿宋" w:eastAsia="仿宋" w:cs="Times New Roman"/>
                <w:color w:val="000000"/>
                <w:sz w:val="24"/>
                <w:szCs w:val="24"/>
                <w:lang w:val="en-US" w:eastAsia="zh-CN"/>
              </w:rPr>
              <w:t>的</w:t>
            </w:r>
            <w:r>
              <w:rPr>
                <w:rFonts w:hint="eastAsia" w:ascii="仿宋" w:hAnsi="仿宋" w:eastAsia="仿宋" w:cs="Times New Roman"/>
                <w:color w:val="000000"/>
                <w:sz w:val="24"/>
                <w:szCs w:val="24"/>
              </w:rPr>
              <w:t>重大意义</w:t>
            </w:r>
            <w:r>
              <w:rPr>
                <w:rFonts w:hint="eastAsia" w:ascii="仿宋" w:hAnsi="仿宋" w:eastAsia="仿宋" w:cs="Times New Roman"/>
                <w:color w:val="000000"/>
                <w:sz w:val="24"/>
                <w:szCs w:val="24"/>
                <w:lang w:eastAsia="zh-CN"/>
              </w:rPr>
              <w:t>。</w:t>
            </w:r>
          </w:p>
          <w:p w14:paraId="65E7E6A7">
            <w:pPr>
              <w:ind w:firstLine="560" w:firstLineChars="200"/>
              <w:rPr>
                <w:rFonts w:ascii="仿宋_GB2312"/>
                <w:color w:val="000000"/>
                <w:sz w:val="28"/>
              </w:rPr>
            </w:pPr>
          </w:p>
        </w:tc>
      </w:tr>
      <w:tr w14:paraId="37DC83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exact"/>
          <w:jc w:val="center"/>
        </w:trPr>
        <w:tc>
          <w:tcPr>
            <w:tcW w:w="848" w:type="dxa"/>
            <w:vMerge w:val="restart"/>
            <w:noWrap w:val="0"/>
            <w:vAlign w:val="center"/>
          </w:tcPr>
          <w:p w14:paraId="712C1443"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  <w:szCs w:val="24"/>
              </w:rPr>
            </w:pPr>
            <w:r>
              <w:rPr>
                <w:rFonts w:hint="eastAsia" w:ascii="华文中宋" w:hAnsi="华文中宋" w:eastAsia="华文中宋"/>
                <w:sz w:val="28"/>
                <w:szCs w:val="24"/>
              </w:rPr>
              <w:t>传</w:t>
            </w:r>
          </w:p>
          <w:p w14:paraId="58A8BA15"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  <w:szCs w:val="24"/>
              </w:rPr>
            </w:pPr>
            <w:r>
              <w:rPr>
                <w:rFonts w:hint="eastAsia" w:ascii="华文中宋" w:hAnsi="华文中宋" w:eastAsia="华文中宋"/>
                <w:sz w:val="28"/>
                <w:szCs w:val="24"/>
              </w:rPr>
              <w:t>播</w:t>
            </w:r>
          </w:p>
          <w:p w14:paraId="6DBFAF60"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  <w:szCs w:val="24"/>
              </w:rPr>
            </w:pPr>
            <w:r>
              <w:rPr>
                <w:rFonts w:hint="eastAsia" w:ascii="华文中宋" w:hAnsi="华文中宋" w:eastAsia="华文中宋"/>
                <w:sz w:val="28"/>
                <w:szCs w:val="24"/>
              </w:rPr>
              <w:t>数</w:t>
            </w:r>
          </w:p>
          <w:p w14:paraId="6ECC6B71"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  <w:szCs w:val="24"/>
              </w:rPr>
            </w:pPr>
            <w:r>
              <w:rPr>
                <w:rFonts w:hint="eastAsia" w:ascii="华文中宋" w:hAnsi="华文中宋" w:eastAsia="华文中宋"/>
                <w:sz w:val="28"/>
                <w:szCs w:val="24"/>
              </w:rPr>
              <w:t>据</w:t>
            </w:r>
          </w:p>
        </w:tc>
        <w:tc>
          <w:tcPr>
            <w:tcW w:w="1917" w:type="dxa"/>
            <w:gridSpan w:val="4"/>
            <w:noWrap w:val="0"/>
            <w:vAlign w:val="center"/>
          </w:tcPr>
          <w:p w14:paraId="40DAA8AA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全网传播量最高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70231EF8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发布链接</w:t>
            </w:r>
          </w:p>
        </w:tc>
        <w:tc>
          <w:tcPr>
            <w:tcW w:w="6432" w:type="dxa"/>
            <w:gridSpan w:val="9"/>
            <w:noWrap w:val="0"/>
            <w:vAlign w:val="center"/>
          </w:tcPr>
          <w:p w14:paraId="584929FA">
            <w:pPr>
              <w:spacing w:line="280" w:lineRule="exact"/>
              <w:rPr>
                <w:rFonts w:ascii="仿宋" w:hAnsi="仿宋" w:eastAsia="仿宋"/>
                <w:color w:val="000000"/>
                <w:szCs w:val="21"/>
              </w:rPr>
            </w:pPr>
          </w:p>
        </w:tc>
      </w:tr>
      <w:tr w14:paraId="5A3F98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exact"/>
          <w:jc w:val="center"/>
        </w:trPr>
        <w:tc>
          <w:tcPr>
            <w:tcW w:w="848" w:type="dxa"/>
            <w:vMerge w:val="continue"/>
            <w:noWrap w:val="0"/>
            <w:vAlign w:val="center"/>
          </w:tcPr>
          <w:p w14:paraId="6E42508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917" w:type="dxa"/>
            <w:gridSpan w:val="4"/>
            <w:noWrap w:val="0"/>
            <w:vAlign w:val="center"/>
          </w:tcPr>
          <w:p w14:paraId="21D8027A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该平台</w:t>
            </w:r>
          </w:p>
          <w:p w14:paraId="14A4E583">
            <w:pPr>
              <w:spacing w:line="240" w:lineRule="exact"/>
              <w:jc w:val="center"/>
              <w:rPr>
                <w:rFonts w:ascii="仿宋" w:hAnsi="仿宋" w:eastAsia="楷体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传播量</w:t>
            </w:r>
          </w:p>
        </w:tc>
        <w:tc>
          <w:tcPr>
            <w:tcW w:w="747" w:type="dxa"/>
            <w:noWrap w:val="0"/>
            <w:vAlign w:val="center"/>
          </w:tcPr>
          <w:p w14:paraId="4DC4C3F4">
            <w:pPr>
              <w:spacing w:line="240" w:lineRule="exact"/>
              <w:rPr>
                <w:rFonts w:hint="eastAsia" w:ascii="仿宋" w:hAnsi="仿宋" w:eastAsia="仿宋"/>
                <w:color w:val="000000"/>
                <w:szCs w:val="21"/>
              </w:rPr>
            </w:pPr>
          </w:p>
        </w:tc>
        <w:tc>
          <w:tcPr>
            <w:tcW w:w="1005" w:type="dxa"/>
            <w:gridSpan w:val="3"/>
            <w:noWrap w:val="0"/>
            <w:vAlign w:val="center"/>
          </w:tcPr>
          <w:p w14:paraId="2DDA9A9F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该平台</w:t>
            </w:r>
          </w:p>
          <w:p w14:paraId="5853D40C">
            <w:pPr>
              <w:spacing w:line="240" w:lineRule="exact"/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互动量</w:t>
            </w:r>
          </w:p>
        </w:tc>
        <w:tc>
          <w:tcPr>
            <w:tcW w:w="2439" w:type="dxa"/>
            <w:gridSpan w:val="3"/>
            <w:noWrap w:val="0"/>
            <w:vAlign w:val="center"/>
          </w:tcPr>
          <w:p w14:paraId="269E825A">
            <w:pPr>
              <w:spacing w:line="240" w:lineRule="exact"/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122" w:type="dxa"/>
            <w:noWrap w:val="0"/>
            <w:vAlign w:val="center"/>
          </w:tcPr>
          <w:p w14:paraId="35193858">
            <w:pPr>
              <w:spacing w:line="240" w:lineRule="exac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全网总传播量（万）</w:t>
            </w:r>
          </w:p>
        </w:tc>
        <w:tc>
          <w:tcPr>
            <w:tcW w:w="1119" w:type="dxa"/>
            <w:noWrap w:val="0"/>
            <w:vAlign w:val="center"/>
          </w:tcPr>
          <w:p w14:paraId="379F5D71">
            <w:pPr>
              <w:spacing w:line="240" w:lineRule="exact"/>
              <w:rPr>
                <w:rFonts w:hint="eastAsia" w:ascii="仿宋" w:hAnsi="仿宋" w:eastAsia="仿宋"/>
                <w:color w:val="000000"/>
                <w:szCs w:val="21"/>
              </w:rPr>
            </w:pPr>
          </w:p>
        </w:tc>
      </w:tr>
      <w:tr w14:paraId="72ED7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9" w:hRule="exact"/>
          <w:jc w:val="center"/>
        </w:trPr>
        <w:tc>
          <w:tcPr>
            <w:tcW w:w="848" w:type="dxa"/>
            <w:noWrap w:val="0"/>
            <w:vAlign w:val="center"/>
          </w:tcPr>
          <w:p w14:paraId="1BD6AD54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 w14:paraId="065220EF">
            <w:pPr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 w14:paraId="6FFE9A1B">
            <w:pPr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 w14:paraId="33F4317B">
            <w:pPr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 w14:paraId="7C9CF3DA">
            <w:pPr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 w14:paraId="7AC4804A">
            <w:pPr>
              <w:spacing w:line="34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︶</w:t>
            </w:r>
          </w:p>
        </w:tc>
        <w:tc>
          <w:tcPr>
            <w:tcW w:w="8349" w:type="dxa"/>
            <w:gridSpan w:val="13"/>
            <w:noWrap w:val="0"/>
            <w:vAlign w:val="top"/>
          </w:tcPr>
          <w:p w14:paraId="54A925BE">
            <w:pPr>
              <w:spacing w:line="0" w:lineRule="atLeast"/>
              <w:ind w:firstLine="480" w:firstLineChars="200"/>
              <w:rPr>
                <w:rFonts w:ascii="Arial"/>
                <w:sz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节目紧扣“绿水青山就是金山银山”理念提出20周年重要节点，牢牢把握习近平生态文明思想的宣传阐释主线，通过嘉宾的娓娓道来，让观众直观看到蘑菇湖水库从“生态伤疤”到“碧水明珠”、将军山从重盐碱的荒山到旅游网红打卡地的转变。以小切口让宏大的生态建设主题变得可感可触。节目邀请的嘉宾以真实视角、真切话语还原兵团生态治理实践，兼具现场感、真实性与说服力。作品主题表达鲜明、立意高远，彰显了兵团切实履行生态卫士职责，让生态文明理念深入人心，舆论引导效果良好，是一篇兼具思想性与可视性的优秀新闻作品。  </w:t>
            </w:r>
          </w:p>
          <w:p w14:paraId="6160EB15">
            <w:pPr>
              <w:spacing w:line="360" w:lineRule="exact"/>
              <w:ind w:firstLine="4416" w:firstLineChars="1600"/>
              <w:rPr>
                <w:rFonts w:hint="eastAsia" w:ascii="华文中宋" w:hAnsi="华文中宋" w:eastAsia="华文中宋"/>
                <w:spacing w:val="-2"/>
                <w:sz w:val="28"/>
                <w:szCs w:val="20"/>
              </w:rPr>
            </w:pPr>
            <w:bookmarkStart w:id="0" w:name="_GoBack"/>
            <w:r>
              <w:rPr>
                <w:rFonts w:hint="eastAsia" w:ascii="华文中宋" w:hAnsi="华文中宋" w:eastAsia="华文中宋"/>
                <w:spacing w:val="-2"/>
                <w:sz w:val="28"/>
              </w:rPr>
              <w:t>签名：</w:t>
            </w:r>
          </w:p>
          <w:p w14:paraId="3A316CF0">
            <w:pPr>
              <w:spacing w:line="360" w:lineRule="exact"/>
              <w:ind w:firstLine="5460" w:firstLineChars="1950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（盖单位公章）</w:t>
            </w:r>
          </w:p>
          <w:p w14:paraId="5FA5320F">
            <w:pPr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                               </w:t>
            </w:r>
            <w:r>
              <w:rPr>
                <w:rFonts w:hint="eastAsia" w:ascii="华文中宋" w:hAnsi="华文中宋" w:eastAsia="华文中宋"/>
                <w:sz w:val="28"/>
              </w:rPr>
              <w:t>2026年    月    日</w:t>
            </w:r>
            <w:bookmarkEnd w:id="0"/>
          </w:p>
        </w:tc>
      </w:tr>
      <w:tr w14:paraId="4F8B1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exact"/>
          <w:jc w:val="center"/>
        </w:trPr>
        <w:tc>
          <w:tcPr>
            <w:tcW w:w="1527" w:type="dxa"/>
            <w:gridSpan w:val="3"/>
            <w:noWrap w:val="0"/>
            <w:vAlign w:val="center"/>
          </w:tcPr>
          <w:p w14:paraId="77145899">
            <w:pPr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联系人</w:t>
            </w:r>
          </w:p>
        </w:tc>
        <w:tc>
          <w:tcPr>
            <w:tcW w:w="2004" w:type="dxa"/>
            <w:gridSpan w:val="4"/>
            <w:noWrap w:val="0"/>
            <w:vAlign w:val="center"/>
          </w:tcPr>
          <w:p w14:paraId="492922B3">
            <w:pPr>
              <w:spacing w:line="240" w:lineRule="exact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792" w:type="dxa"/>
            <w:noWrap w:val="0"/>
            <w:vAlign w:val="center"/>
          </w:tcPr>
          <w:p w14:paraId="516E1652">
            <w:pPr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电话</w:t>
            </w:r>
          </w:p>
        </w:tc>
        <w:tc>
          <w:tcPr>
            <w:tcW w:w="1817" w:type="dxa"/>
            <w:gridSpan w:val="3"/>
            <w:noWrap w:val="0"/>
            <w:vAlign w:val="center"/>
          </w:tcPr>
          <w:p w14:paraId="759B4A89">
            <w:pPr>
              <w:spacing w:line="240" w:lineRule="exact"/>
              <w:ind w:firstLine="48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16" w:type="dxa"/>
            <w:noWrap w:val="0"/>
            <w:vAlign w:val="center"/>
          </w:tcPr>
          <w:p w14:paraId="70EB650F">
            <w:pPr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2241" w:type="dxa"/>
            <w:gridSpan w:val="2"/>
            <w:noWrap w:val="0"/>
            <w:vAlign w:val="center"/>
          </w:tcPr>
          <w:p w14:paraId="1FCFAF62">
            <w:pPr>
              <w:spacing w:line="24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</w:p>
        </w:tc>
      </w:tr>
    </w:tbl>
    <w:p w14:paraId="565F9CF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FangSong_GB2312">
    <w:altName w:val="仿宋_GB2312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F87C5C"/>
    <w:rsid w:val="032C0F1F"/>
    <w:rsid w:val="296028EA"/>
    <w:rsid w:val="2F6F1AD9"/>
    <w:rsid w:val="314F3970"/>
    <w:rsid w:val="3C607499"/>
    <w:rsid w:val="3CE56F19"/>
    <w:rsid w:val="5D7719D5"/>
    <w:rsid w:val="5FB05656"/>
    <w:rsid w:val="7BC96777"/>
    <w:rsid w:val="7E750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qFormat/>
    <w:uiPriority w:val="0"/>
    <w:rPr>
      <w:rFonts w:ascii="Calibri" w:hAnsi="Calibri" w:eastAsia="宋体" w:cs="Times New Roman"/>
      <w:b/>
      <w:bCs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671</Words>
  <Characters>686</Characters>
  <Lines>0</Lines>
  <Paragraphs>0</Paragraphs>
  <TotalTime>15</TotalTime>
  <ScaleCrop>false</ScaleCrop>
  <LinksUpToDate>false</LinksUpToDate>
  <CharactersWithSpaces>745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2026-04-20T02:49:00Z</dcterms:created>
  <dc:creator>Administrator</dc:creator>
  <cp:lastModifiedBy>°苗阿糖°</cp:lastModifiedBy>
  <cp:lastPrinted>2026-04-20T05:41:00Z</cp:lastPrinted>
  <dcterms:modified xsi:type="dcterms:W3CDTF">2026-04-20T06:32:39Z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KSOTemplateDocerSaveRecord">
    <vt:lpwstr>eyJoZGlkIjoiMzRlZGMyMzI2ZjYwNjA4ZGVhMjY0OGUwNjFjNDIzZmQiLCJ1c2VySWQiOiIyNDczOTk1MzUifQ==</vt:lpwstr>
  </property>
  <property fmtid="{D5CDD505-2E9C-101B-9397-08002B2CF9AE}" pid="4" name="ICV">
    <vt:lpwstr>266909998D6D48A798E6D11A7CF5BB56_12</vt:lpwstr>
  </property>
</Properties>
</file>